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Abbotsford Public School Student Leadership Timeline 2019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-207817</wp:posOffset>
            </wp:positionV>
            <wp:extent cx="771896" cy="771896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896" cy="771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9214"/>
        <w:tblGridChange w:id="0">
          <w:tblGrid>
            <w:gridCol w:w="1276"/>
            <w:gridCol w:w="92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9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Year 5 students receive information letter explaining election process.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Principal and Stage 3 teachers will review behaviour records to confirm eligibility of Year 5 students with reference to the Abbotsford Public School Wellbeing Policy. The Principal or Stage 3 Assistant Principal will inform ineligible candidates and their parent/carers.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 5 students who submit a CareMonkey request receive a nomination and contract form.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Nomination forms (signed by student and parent) are submitted to the Stage 3 Assistant Principal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by the end of Week 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Nominees for the Leadership Team will present their speeches to Stage 3 and K-6 SRC representatives: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“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Why would I make a good member of the school leadership team?”</w:t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Candidates must wear full school uniform and may not use props of any kind during the delivery of their speech. Following the nominee speeches, Year 5 students, current Student Leadership Team and staff vote online. The Principal confirms voting numbers and announces the candidates (maximum 20) who move on to the next stage of the election process.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ind w:left="3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successful candidates present their speeches to a K-6 assembly: </w:t>
            </w:r>
          </w:p>
          <w:p w:rsidR="00000000" w:rsidDel="00000000" w:rsidP="00000000" w:rsidRDefault="00000000" w:rsidRPr="00000000" w14:paraId="00000017">
            <w:pPr>
              <w:ind w:left="34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Why would I make a good member of the student leadership team?”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3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Candidates must wear full school uniform and may not use props of any kind during the delivery of their speech. 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34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from Years 2-5 and the current Year 6 Student Leadership Team vote online after speeches have concluded. All staff also vote through the online process.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34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The Principal confirms voting numbers.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Nominees for sports house captains present their speeches to their sports house: 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“Why would I make a good sports house captain?”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from Years 2-5 and the current Year 6 Student Leadership Team vote online after the conclusion of speeches. All staff also vote through the online process.</w:t>
            </w:r>
          </w:p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Principal confirms voting numbers.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9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Announcement of student leadership team and house captains at the APS Presentation Day assembly.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handover meeting is held with the Principal, all executive teachers, outgoing leadership team and successful Year 5 candidates.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Early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 1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(following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captains, vice-captains, student leaders and sports house captains are invested in a K-6 assembly and make a pledge.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captains, vice-captains, student leaders and sports house captains are invited to morning tea with the Principal and executive staff to discuss roles and responsibilities.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UhKWQOeQ5PkLsqoCsdkCg+Amg==">AMUW2mWUnBiHSZrQE0FqZeenoSgTr1mP0sRPO4QaoY3nsQ+QLuwxAShX8Lnzj+CBBbCXlbzzKN9gnqo0w/b7XZM37Z2H1RbbZN2+t6aYW13/4RFljaeBIUgR1AwTdntELOHmSb/sA3y9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2015-09-14T06:35:00Z</dcterms:created>
  <dc:creator>Jackson, Susan</dc:creator>
</cp:coreProperties>
</file>